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B5" w:rsidRDefault="00C24FB5" w:rsidP="00C24FB5">
      <w:pPr>
        <w:pStyle w:val="Heading1"/>
      </w:pPr>
      <w:bookmarkStart w:id="0" w:name="_Toc44183772"/>
      <w:r>
        <w:t>ABSTRAK</w:t>
      </w:r>
      <w:bookmarkEnd w:id="0"/>
    </w:p>
    <w:p w:rsidR="00C24FB5" w:rsidRDefault="00C24FB5" w:rsidP="00C24FB5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YULITA NORMA SARI</w:t>
      </w:r>
      <w:r w:rsidRPr="00EC780E">
        <w:rPr>
          <w:rFonts w:asciiTheme="majorBidi" w:hAnsiTheme="majorBidi" w:cstheme="majorBidi"/>
          <w:b/>
          <w:bCs/>
          <w:sz w:val="24"/>
          <w:szCs w:val="24"/>
          <w:lang w:val="id-ID"/>
        </w:rPr>
        <w:t>.</w:t>
      </w:r>
      <w:proofErr w:type="gramEnd"/>
      <w:r w:rsidRPr="00EC780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20</w:t>
      </w:r>
      <w:r>
        <w:rPr>
          <w:rFonts w:asciiTheme="majorBidi" w:hAnsiTheme="majorBidi" w:cstheme="majorBidi"/>
          <w:sz w:val="24"/>
          <w:szCs w:val="24"/>
        </w:rPr>
        <w:t xml:space="preserve">20.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3292">
        <w:rPr>
          <w:rFonts w:asciiTheme="majorBidi" w:hAnsiTheme="majorBidi" w:cstheme="majorBidi"/>
          <w:i/>
          <w:iCs/>
          <w:sz w:val="24"/>
          <w:szCs w:val="24"/>
        </w:rPr>
        <w:t>Price Book Value</w:t>
      </w:r>
      <w:r>
        <w:rPr>
          <w:rFonts w:asciiTheme="majorBidi" w:hAnsiTheme="majorBidi" w:cstheme="majorBidi"/>
          <w:sz w:val="24"/>
          <w:szCs w:val="24"/>
        </w:rPr>
        <w:t xml:space="preserve"> (PBV), </w:t>
      </w:r>
      <w:r w:rsidRPr="00333292">
        <w:rPr>
          <w:rFonts w:asciiTheme="majorBidi" w:hAnsiTheme="majorBidi" w:cstheme="majorBidi"/>
          <w:i/>
          <w:iCs/>
          <w:sz w:val="24"/>
          <w:szCs w:val="24"/>
        </w:rPr>
        <w:t>Debt To Equity Ratio</w:t>
      </w:r>
      <w:r>
        <w:rPr>
          <w:rFonts w:asciiTheme="majorBidi" w:hAnsiTheme="majorBidi" w:cstheme="majorBidi"/>
          <w:sz w:val="24"/>
          <w:szCs w:val="24"/>
        </w:rPr>
        <w:t xml:space="preserve"> (DER), </w:t>
      </w:r>
      <w:r w:rsidRPr="00333292">
        <w:rPr>
          <w:rFonts w:asciiTheme="majorBidi" w:hAnsiTheme="majorBidi" w:cstheme="majorBidi"/>
          <w:i/>
          <w:iCs/>
          <w:sz w:val="24"/>
          <w:szCs w:val="24"/>
        </w:rPr>
        <w:t>Return On Equity</w:t>
      </w:r>
      <w:r>
        <w:rPr>
          <w:rFonts w:asciiTheme="majorBidi" w:hAnsiTheme="majorBidi" w:cstheme="majorBidi"/>
          <w:sz w:val="24"/>
          <w:szCs w:val="24"/>
        </w:rPr>
        <w:t xml:space="preserve"> (ROE)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3292">
        <w:rPr>
          <w:rFonts w:asciiTheme="majorBidi" w:hAnsiTheme="majorBidi" w:cstheme="majorBidi"/>
          <w:i/>
          <w:iCs/>
          <w:sz w:val="24"/>
          <w:szCs w:val="24"/>
        </w:rPr>
        <w:t>Earning Per Share</w:t>
      </w:r>
      <w:r>
        <w:rPr>
          <w:rFonts w:asciiTheme="majorBidi" w:hAnsiTheme="majorBidi" w:cstheme="majorBidi"/>
          <w:sz w:val="24"/>
          <w:szCs w:val="24"/>
        </w:rPr>
        <w:t xml:space="preserve"> (EPS)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3292">
        <w:rPr>
          <w:rFonts w:asciiTheme="majorBidi" w:hAnsiTheme="majorBidi" w:cstheme="majorBidi"/>
          <w:i/>
          <w:iCs/>
          <w:sz w:val="24"/>
          <w:szCs w:val="24"/>
        </w:rPr>
        <w:t>Return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Saham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Perusahaan-Perusahaan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Jakarta Islamic Index (JII) </w:t>
      </w:r>
      <w:proofErr w:type="spellStart"/>
      <w:r>
        <w:rPr>
          <w:rFonts w:asciiTheme="majorBidi" w:hAnsiTheme="majorBidi" w:cstheme="majorBidi"/>
          <w:sz w:val="24"/>
          <w:szCs w:val="24"/>
        </w:rPr>
        <w:t>Periode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2015-2018</w:t>
      </w:r>
      <w:r w:rsidRPr="00EC780E">
        <w:rPr>
          <w:rFonts w:asciiTheme="majorBidi" w:hAnsiTheme="majorBidi" w:cstheme="majorBidi"/>
          <w:sz w:val="24"/>
          <w:szCs w:val="24"/>
          <w:lang w:val="id-ID"/>
        </w:rPr>
        <w:t>. Skripsi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Jurusan </w:t>
      </w:r>
      <w:r w:rsidRPr="006A3E78">
        <w:rPr>
          <w:rFonts w:asciiTheme="majorBidi" w:hAnsiTheme="majorBidi" w:cstheme="majorBidi"/>
          <w:sz w:val="24"/>
          <w:szCs w:val="24"/>
          <w:lang w:val="id-ID"/>
        </w:rPr>
        <w:t>Ekonomi Syariah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Pembimbing: (I) </w:t>
      </w:r>
      <w:r w:rsidRPr="006A3E78">
        <w:rPr>
          <w:rFonts w:asciiTheme="majorBidi" w:hAnsiTheme="majorBidi" w:cstheme="majorBidi"/>
          <w:sz w:val="24"/>
          <w:szCs w:val="24"/>
          <w:lang w:val="id-ID"/>
        </w:rPr>
        <w:t>Dr. Zaki Mubarak, S.E, M.Si. (II) Erissa Nilasari, S.P.,M.P.</w:t>
      </w:r>
    </w:p>
    <w:p w:rsidR="00C24FB5" w:rsidRDefault="00C24FB5" w:rsidP="00C24FB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Kata Kunci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333292">
        <w:rPr>
          <w:rFonts w:asciiTheme="majorBidi" w:hAnsiTheme="majorBidi" w:cstheme="majorBidi"/>
          <w:i/>
          <w:iCs/>
          <w:sz w:val="24"/>
          <w:szCs w:val="24"/>
        </w:rPr>
        <w:t>Price Book Value</w:t>
      </w:r>
      <w:r>
        <w:rPr>
          <w:rFonts w:asciiTheme="majorBidi" w:hAnsiTheme="majorBidi" w:cstheme="majorBidi"/>
          <w:sz w:val="24"/>
          <w:szCs w:val="24"/>
        </w:rPr>
        <w:t xml:space="preserve"> (PBV), </w:t>
      </w:r>
      <w:r w:rsidRPr="00333292">
        <w:rPr>
          <w:rFonts w:asciiTheme="majorBidi" w:hAnsiTheme="majorBidi" w:cstheme="majorBidi"/>
          <w:i/>
          <w:iCs/>
          <w:sz w:val="24"/>
          <w:szCs w:val="24"/>
        </w:rPr>
        <w:t>Debt To Equity Ratio</w:t>
      </w:r>
      <w:r>
        <w:rPr>
          <w:rFonts w:asciiTheme="majorBidi" w:hAnsiTheme="majorBidi" w:cstheme="majorBidi"/>
          <w:sz w:val="24"/>
          <w:szCs w:val="24"/>
        </w:rPr>
        <w:t xml:space="preserve"> (DER), </w:t>
      </w:r>
      <w:r w:rsidRPr="00333292">
        <w:rPr>
          <w:rFonts w:asciiTheme="majorBidi" w:hAnsiTheme="majorBidi" w:cstheme="majorBidi"/>
          <w:i/>
          <w:iCs/>
          <w:sz w:val="24"/>
          <w:szCs w:val="24"/>
        </w:rPr>
        <w:t>Return On Equity</w:t>
      </w:r>
      <w:r>
        <w:rPr>
          <w:rFonts w:asciiTheme="majorBidi" w:hAnsiTheme="majorBidi" w:cstheme="majorBidi"/>
          <w:sz w:val="24"/>
          <w:szCs w:val="24"/>
        </w:rPr>
        <w:t xml:space="preserve"> (ROE)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3292">
        <w:rPr>
          <w:rFonts w:asciiTheme="majorBidi" w:hAnsiTheme="majorBidi" w:cstheme="majorBidi"/>
          <w:i/>
          <w:iCs/>
          <w:sz w:val="24"/>
          <w:szCs w:val="24"/>
        </w:rPr>
        <w:t>Earning Per Share</w:t>
      </w:r>
      <w:r>
        <w:rPr>
          <w:rFonts w:asciiTheme="majorBidi" w:hAnsiTheme="majorBidi" w:cstheme="majorBidi"/>
          <w:sz w:val="24"/>
          <w:szCs w:val="24"/>
        </w:rPr>
        <w:t xml:space="preserve"> (EPS). </w:t>
      </w:r>
    </w:p>
    <w:p w:rsidR="00C24FB5" w:rsidRPr="00E54C64" w:rsidRDefault="00C24FB5" w:rsidP="00C24FB5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24FB5" w:rsidRDefault="00C24FB5" w:rsidP="00C24FB5">
      <w:pPr>
        <w:spacing w:after="120"/>
        <w:ind w:left="6" w:right="40" w:firstLine="45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gambaran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investor </w:t>
      </w:r>
      <w:proofErr w:type="spellStart"/>
      <w:r>
        <w:rPr>
          <w:rFonts w:asciiTheme="majorBidi" w:hAnsiTheme="majorBidi" w:cstheme="majorBidi"/>
          <w:sz w:val="24"/>
          <w:szCs w:val="24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return </w:t>
      </w:r>
      <w:proofErr w:type="spellStart"/>
      <w:r>
        <w:rPr>
          <w:rFonts w:asciiTheme="majorBidi" w:hAnsiTheme="majorBidi" w:cstheme="majorBidi"/>
          <w:sz w:val="24"/>
          <w:szCs w:val="24"/>
        </w:rPr>
        <w:t>saham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ratio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fundamental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perusahaan-perusahaan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termasuk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index JII, m</w:t>
      </w:r>
      <w:r w:rsidRPr="008D358F">
        <w:rPr>
          <w:rFonts w:asciiTheme="majorBidi" w:hAnsiTheme="majorBidi" w:cstheme="majorBidi"/>
          <w:sz w:val="24"/>
          <w:szCs w:val="24"/>
          <w:lang w:val="id-ID"/>
        </w:rPr>
        <w:t xml:space="preserve">engingat pentingnya </w:t>
      </w:r>
      <w:r w:rsidRPr="008D358F">
        <w:rPr>
          <w:rFonts w:asciiTheme="majorBidi" w:hAnsiTheme="majorBidi" w:cstheme="majorBidi"/>
          <w:i/>
          <w:iCs/>
          <w:sz w:val="24"/>
          <w:szCs w:val="24"/>
          <w:lang w:val="id-ID"/>
        </w:rPr>
        <w:t>return</w:t>
      </w:r>
      <w:r w:rsidRPr="008D358F">
        <w:rPr>
          <w:rFonts w:asciiTheme="majorBidi" w:hAnsiTheme="majorBidi" w:cstheme="majorBidi"/>
          <w:sz w:val="24"/>
          <w:szCs w:val="24"/>
          <w:lang w:val="id-ID"/>
        </w:rPr>
        <w:t xml:space="preserve"> saham bagi investor untuk menentukan apakah investor akan menanamkan sahamnya pada perusahaa</w:t>
      </w:r>
      <w:r>
        <w:rPr>
          <w:rFonts w:asciiTheme="majorBidi" w:hAnsiTheme="majorBidi" w:cstheme="majorBidi"/>
          <w:sz w:val="24"/>
          <w:szCs w:val="24"/>
          <w:lang w:val="id-ID"/>
        </w:rPr>
        <w:t>n yang bersangkutan atau tidak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24FB5" w:rsidRDefault="00C24FB5" w:rsidP="00C24FB5">
      <w:pPr>
        <w:spacing w:after="120"/>
        <w:ind w:left="6" w:right="40" w:firstLine="45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3292">
        <w:rPr>
          <w:rFonts w:asciiTheme="majorBidi" w:hAnsiTheme="majorBidi" w:cstheme="majorBidi"/>
          <w:i/>
          <w:iCs/>
          <w:sz w:val="24"/>
          <w:szCs w:val="24"/>
        </w:rPr>
        <w:t>Price Book Value</w:t>
      </w:r>
      <w:r>
        <w:rPr>
          <w:rFonts w:asciiTheme="majorBidi" w:hAnsiTheme="majorBidi" w:cstheme="majorBidi"/>
          <w:sz w:val="24"/>
          <w:szCs w:val="24"/>
        </w:rPr>
        <w:t xml:space="preserve"> (PBV), </w:t>
      </w:r>
      <w:r w:rsidRPr="00333292">
        <w:rPr>
          <w:rFonts w:asciiTheme="majorBidi" w:hAnsiTheme="majorBidi" w:cstheme="majorBidi"/>
          <w:i/>
          <w:iCs/>
          <w:sz w:val="24"/>
          <w:szCs w:val="24"/>
        </w:rPr>
        <w:t>Debt To Equity Ratio</w:t>
      </w:r>
      <w:r>
        <w:rPr>
          <w:rFonts w:asciiTheme="majorBidi" w:hAnsiTheme="majorBidi" w:cstheme="majorBidi"/>
          <w:sz w:val="24"/>
          <w:szCs w:val="24"/>
        </w:rPr>
        <w:t xml:space="preserve"> (DER), </w:t>
      </w:r>
      <w:r w:rsidRPr="00333292">
        <w:rPr>
          <w:rFonts w:asciiTheme="majorBidi" w:hAnsiTheme="majorBidi" w:cstheme="majorBidi"/>
          <w:i/>
          <w:iCs/>
          <w:sz w:val="24"/>
          <w:szCs w:val="24"/>
        </w:rPr>
        <w:t>Return On Equity</w:t>
      </w:r>
      <w:r>
        <w:rPr>
          <w:rFonts w:asciiTheme="majorBidi" w:hAnsiTheme="majorBidi" w:cstheme="majorBidi"/>
          <w:sz w:val="24"/>
          <w:szCs w:val="24"/>
        </w:rPr>
        <w:t xml:space="preserve"> (ROE)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3292">
        <w:rPr>
          <w:rFonts w:asciiTheme="majorBidi" w:hAnsiTheme="majorBidi" w:cstheme="majorBidi"/>
          <w:i/>
          <w:iCs/>
          <w:sz w:val="24"/>
          <w:szCs w:val="24"/>
        </w:rPr>
        <w:t>Earning Per Share</w:t>
      </w:r>
      <w:r>
        <w:rPr>
          <w:rFonts w:asciiTheme="majorBidi" w:hAnsiTheme="majorBidi" w:cstheme="majorBidi"/>
          <w:sz w:val="24"/>
          <w:szCs w:val="24"/>
        </w:rPr>
        <w:t xml:space="preserve"> (EPS)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3292">
        <w:rPr>
          <w:rFonts w:asciiTheme="majorBidi" w:hAnsiTheme="majorBidi" w:cstheme="majorBidi"/>
          <w:i/>
          <w:iCs/>
          <w:sz w:val="24"/>
          <w:szCs w:val="24"/>
        </w:rPr>
        <w:t>Return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Saham</w:t>
      </w:r>
      <w:proofErr w:type="spellEnd"/>
      <w:r w:rsidRPr="003332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Perusahaan-Perusahaan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Jakarta Islamic Index (JII) </w:t>
      </w:r>
      <w:proofErr w:type="spellStart"/>
      <w:r>
        <w:rPr>
          <w:rFonts w:asciiTheme="majorBidi" w:hAnsiTheme="majorBidi" w:cstheme="majorBidi"/>
          <w:sz w:val="24"/>
          <w:szCs w:val="24"/>
        </w:rPr>
        <w:t>periode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2015-2018.</w:t>
      </w:r>
    </w:p>
    <w:p w:rsidR="00C24FB5" w:rsidRDefault="00C24FB5" w:rsidP="00C24FB5">
      <w:pPr>
        <w:spacing w:after="120"/>
        <w:ind w:left="6" w:right="40" w:firstLine="45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14 Perusahaan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56 data </w:t>
      </w:r>
      <w:proofErr w:type="spellStart"/>
      <w:r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pengambilan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purposive sampling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regresi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linier </w:t>
      </w:r>
      <w:proofErr w:type="spellStart"/>
      <w:r>
        <w:rPr>
          <w:rFonts w:asciiTheme="majorBidi" w:hAnsiTheme="majorBidi" w:cstheme="majorBidi"/>
          <w:sz w:val="24"/>
          <w:szCs w:val="24"/>
        </w:rPr>
        <w:t>berganda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24FB5" w:rsidRDefault="00C24FB5" w:rsidP="00C24FB5">
      <w:pPr>
        <w:spacing w:after="120"/>
        <w:ind w:left="6" w:right="40" w:firstLine="45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simultan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3292">
        <w:rPr>
          <w:rFonts w:asciiTheme="majorBidi" w:hAnsiTheme="majorBidi" w:cstheme="majorBidi"/>
          <w:i/>
          <w:iCs/>
          <w:sz w:val="24"/>
          <w:szCs w:val="24"/>
        </w:rPr>
        <w:t>Price Book Value</w:t>
      </w:r>
      <w:r>
        <w:rPr>
          <w:rFonts w:asciiTheme="majorBidi" w:hAnsiTheme="majorBidi" w:cstheme="majorBidi"/>
          <w:sz w:val="24"/>
          <w:szCs w:val="24"/>
        </w:rPr>
        <w:t xml:space="preserve"> (PBV), </w:t>
      </w:r>
      <w:r w:rsidRPr="00333292">
        <w:rPr>
          <w:rFonts w:asciiTheme="majorBidi" w:hAnsiTheme="majorBidi" w:cstheme="majorBidi"/>
          <w:i/>
          <w:iCs/>
          <w:sz w:val="24"/>
          <w:szCs w:val="24"/>
        </w:rPr>
        <w:t xml:space="preserve">Debt </w:t>
      </w:r>
      <w:proofErr w:type="gramStart"/>
      <w:r w:rsidRPr="00333292">
        <w:rPr>
          <w:rFonts w:asciiTheme="majorBidi" w:hAnsiTheme="majorBidi" w:cstheme="majorBidi"/>
          <w:i/>
          <w:iCs/>
          <w:sz w:val="24"/>
          <w:szCs w:val="24"/>
        </w:rPr>
        <w:t>To</w:t>
      </w:r>
      <w:proofErr w:type="gramEnd"/>
      <w:r w:rsidRPr="00333292">
        <w:rPr>
          <w:rFonts w:asciiTheme="majorBidi" w:hAnsiTheme="majorBidi" w:cstheme="majorBidi"/>
          <w:i/>
          <w:iCs/>
          <w:sz w:val="24"/>
          <w:szCs w:val="24"/>
        </w:rPr>
        <w:t xml:space="preserve"> Equity Ratio</w:t>
      </w:r>
      <w:r>
        <w:rPr>
          <w:rFonts w:asciiTheme="majorBidi" w:hAnsiTheme="majorBidi" w:cstheme="majorBidi"/>
          <w:sz w:val="24"/>
          <w:szCs w:val="24"/>
        </w:rPr>
        <w:t xml:space="preserve"> (DER), </w:t>
      </w:r>
      <w:r w:rsidRPr="00333292">
        <w:rPr>
          <w:rFonts w:asciiTheme="majorBidi" w:hAnsiTheme="majorBidi" w:cstheme="majorBidi"/>
          <w:i/>
          <w:iCs/>
          <w:sz w:val="24"/>
          <w:szCs w:val="24"/>
        </w:rPr>
        <w:t>Return On Equity</w:t>
      </w:r>
      <w:r>
        <w:rPr>
          <w:rFonts w:asciiTheme="majorBidi" w:hAnsiTheme="majorBidi" w:cstheme="majorBidi"/>
          <w:sz w:val="24"/>
          <w:szCs w:val="24"/>
        </w:rPr>
        <w:t xml:space="preserve"> (ROE)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3292">
        <w:rPr>
          <w:rFonts w:asciiTheme="majorBidi" w:hAnsiTheme="majorBidi" w:cstheme="majorBidi"/>
          <w:i/>
          <w:iCs/>
          <w:sz w:val="24"/>
          <w:szCs w:val="24"/>
        </w:rPr>
        <w:t>Earning Per Share</w:t>
      </w:r>
      <w:r>
        <w:rPr>
          <w:rFonts w:asciiTheme="majorBidi" w:hAnsiTheme="majorBidi" w:cstheme="majorBidi"/>
          <w:sz w:val="24"/>
          <w:szCs w:val="24"/>
        </w:rPr>
        <w:t xml:space="preserve"> (EPS)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positif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return </w:t>
      </w:r>
      <w:proofErr w:type="spellStart"/>
      <w:r>
        <w:rPr>
          <w:rFonts w:asciiTheme="majorBidi" w:hAnsiTheme="majorBidi" w:cstheme="majorBidi"/>
          <w:sz w:val="24"/>
          <w:szCs w:val="24"/>
        </w:rPr>
        <w:t>saham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D233F" w:rsidRDefault="00CD233F">
      <w:bookmarkStart w:id="1" w:name="_GoBack"/>
      <w:bookmarkEnd w:id="1"/>
    </w:p>
    <w:sectPr w:rsidR="00CD233F" w:rsidSect="00C24FB5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B5"/>
    <w:rsid w:val="00012D3F"/>
    <w:rsid w:val="0003466F"/>
    <w:rsid w:val="00036C65"/>
    <w:rsid w:val="00037B81"/>
    <w:rsid w:val="00040A08"/>
    <w:rsid w:val="00047796"/>
    <w:rsid w:val="00071107"/>
    <w:rsid w:val="00071D34"/>
    <w:rsid w:val="00071F54"/>
    <w:rsid w:val="00082BD7"/>
    <w:rsid w:val="00090156"/>
    <w:rsid w:val="00091ABC"/>
    <w:rsid w:val="0009794C"/>
    <w:rsid w:val="000A2C3A"/>
    <w:rsid w:val="000B1D92"/>
    <w:rsid w:val="000B20EA"/>
    <w:rsid w:val="000D0A15"/>
    <w:rsid w:val="000D4F0A"/>
    <w:rsid w:val="000E029B"/>
    <w:rsid w:val="000E5C29"/>
    <w:rsid w:val="000E64AF"/>
    <w:rsid w:val="000F4FA2"/>
    <w:rsid w:val="000F6CE9"/>
    <w:rsid w:val="0010020A"/>
    <w:rsid w:val="00105D3C"/>
    <w:rsid w:val="00113C05"/>
    <w:rsid w:val="001321DC"/>
    <w:rsid w:val="00140363"/>
    <w:rsid w:val="0014186C"/>
    <w:rsid w:val="00143D33"/>
    <w:rsid w:val="00150EAA"/>
    <w:rsid w:val="00153138"/>
    <w:rsid w:val="00185A0F"/>
    <w:rsid w:val="00187553"/>
    <w:rsid w:val="001A2631"/>
    <w:rsid w:val="001A2B19"/>
    <w:rsid w:val="001D237D"/>
    <w:rsid w:val="001F13D3"/>
    <w:rsid w:val="002005A0"/>
    <w:rsid w:val="00200EE6"/>
    <w:rsid w:val="002021EC"/>
    <w:rsid w:val="00203105"/>
    <w:rsid w:val="00206B1A"/>
    <w:rsid w:val="00213042"/>
    <w:rsid w:val="00216129"/>
    <w:rsid w:val="00221347"/>
    <w:rsid w:val="0022337C"/>
    <w:rsid w:val="00230582"/>
    <w:rsid w:val="0023496E"/>
    <w:rsid w:val="00255248"/>
    <w:rsid w:val="00263FB3"/>
    <w:rsid w:val="002641A1"/>
    <w:rsid w:val="00272C6D"/>
    <w:rsid w:val="00275581"/>
    <w:rsid w:val="002B27CC"/>
    <w:rsid w:val="002D783E"/>
    <w:rsid w:val="002E4177"/>
    <w:rsid w:val="002E4991"/>
    <w:rsid w:val="00301D6B"/>
    <w:rsid w:val="00312001"/>
    <w:rsid w:val="00312B69"/>
    <w:rsid w:val="00321F42"/>
    <w:rsid w:val="003231FE"/>
    <w:rsid w:val="00324C1F"/>
    <w:rsid w:val="00327853"/>
    <w:rsid w:val="0033181A"/>
    <w:rsid w:val="003327A4"/>
    <w:rsid w:val="00334920"/>
    <w:rsid w:val="003357C7"/>
    <w:rsid w:val="00337391"/>
    <w:rsid w:val="0034693E"/>
    <w:rsid w:val="00346A40"/>
    <w:rsid w:val="00347D70"/>
    <w:rsid w:val="003529A7"/>
    <w:rsid w:val="00352D83"/>
    <w:rsid w:val="00366637"/>
    <w:rsid w:val="00374BF4"/>
    <w:rsid w:val="00382463"/>
    <w:rsid w:val="003878E3"/>
    <w:rsid w:val="00396994"/>
    <w:rsid w:val="003A19FC"/>
    <w:rsid w:val="003A4BCF"/>
    <w:rsid w:val="003B0334"/>
    <w:rsid w:val="003B14C3"/>
    <w:rsid w:val="003B2C05"/>
    <w:rsid w:val="003B3A49"/>
    <w:rsid w:val="003C3B4B"/>
    <w:rsid w:val="003D3C1F"/>
    <w:rsid w:val="003D6B15"/>
    <w:rsid w:val="0042448C"/>
    <w:rsid w:val="00424A32"/>
    <w:rsid w:val="004256B8"/>
    <w:rsid w:val="004416F7"/>
    <w:rsid w:val="00442D1B"/>
    <w:rsid w:val="004455BF"/>
    <w:rsid w:val="00446189"/>
    <w:rsid w:val="0044722E"/>
    <w:rsid w:val="00465DE5"/>
    <w:rsid w:val="00466D6D"/>
    <w:rsid w:val="00467E56"/>
    <w:rsid w:val="004703B1"/>
    <w:rsid w:val="00472672"/>
    <w:rsid w:val="0047757B"/>
    <w:rsid w:val="00485B35"/>
    <w:rsid w:val="00492423"/>
    <w:rsid w:val="004A1122"/>
    <w:rsid w:val="004A500A"/>
    <w:rsid w:val="004B1D51"/>
    <w:rsid w:val="004B486D"/>
    <w:rsid w:val="004C1577"/>
    <w:rsid w:val="004D39D7"/>
    <w:rsid w:val="004D6302"/>
    <w:rsid w:val="004F6337"/>
    <w:rsid w:val="005061FD"/>
    <w:rsid w:val="00506C1F"/>
    <w:rsid w:val="00507443"/>
    <w:rsid w:val="005205B2"/>
    <w:rsid w:val="00520832"/>
    <w:rsid w:val="00524A3F"/>
    <w:rsid w:val="00537611"/>
    <w:rsid w:val="00546076"/>
    <w:rsid w:val="00553F33"/>
    <w:rsid w:val="00555595"/>
    <w:rsid w:val="00563091"/>
    <w:rsid w:val="00567168"/>
    <w:rsid w:val="0056717F"/>
    <w:rsid w:val="00574704"/>
    <w:rsid w:val="005814D4"/>
    <w:rsid w:val="0058432B"/>
    <w:rsid w:val="005843B8"/>
    <w:rsid w:val="00596956"/>
    <w:rsid w:val="005A247E"/>
    <w:rsid w:val="005C02E5"/>
    <w:rsid w:val="005C61A1"/>
    <w:rsid w:val="005C685D"/>
    <w:rsid w:val="005C7F83"/>
    <w:rsid w:val="005D0DA0"/>
    <w:rsid w:val="005D17C5"/>
    <w:rsid w:val="005D7AE1"/>
    <w:rsid w:val="005E037B"/>
    <w:rsid w:val="005E7FB6"/>
    <w:rsid w:val="005F0205"/>
    <w:rsid w:val="005F6D18"/>
    <w:rsid w:val="00604F1A"/>
    <w:rsid w:val="00615E50"/>
    <w:rsid w:val="0062099B"/>
    <w:rsid w:val="00651309"/>
    <w:rsid w:val="0065599F"/>
    <w:rsid w:val="006607D9"/>
    <w:rsid w:val="00692AAF"/>
    <w:rsid w:val="00697718"/>
    <w:rsid w:val="006A35E7"/>
    <w:rsid w:val="006B7986"/>
    <w:rsid w:val="006C50AC"/>
    <w:rsid w:val="006D02BB"/>
    <w:rsid w:val="006E1FF8"/>
    <w:rsid w:val="006F5EDF"/>
    <w:rsid w:val="007044B1"/>
    <w:rsid w:val="00707AAF"/>
    <w:rsid w:val="0071491B"/>
    <w:rsid w:val="0073175A"/>
    <w:rsid w:val="00782940"/>
    <w:rsid w:val="007843FC"/>
    <w:rsid w:val="00794645"/>
    <w:rsid w:val="007A01BB"/>
    <w:rsid w:val="007A0DB0"/>
    <w:rsid w:val="007A3691"/>
    <w:rsid w:val="007A450C"/>
    <w:rsid w:val="007A4819"/>
    <w:rsid w:val="007B2625"/>
    <w:rsid w:val="007C6481"/>
    <w:rsid w:val="007E466B"/>
    <w:rsid w:val="007F0FF6"/>
    <w:rsid w:val="007F35C8"/>
    <w:rsid w:val="0080360B"/>
    <w:rsid w:val="00805B8F"/>
    <w:rsid w:val="0082093B"/>
    <w:rsid w:val="00831E4B"/>
    <w:rsid w:val="0084254C"/>
    <w:rsid w:val="00865C13"/>
    <w:rsid w:val="00872EDC"/>
    <w:rsid w:val="00872F28"/>
    <w:rsid w:val="00877CD9"/>
    <w:rsid w:val="00883896"/>
    <w:rsid w:val="008E07BC"/>
    <w:rsid w:val="008E6419"/>
    <w:rsid w:val="008E7D8C"/>
    <w:rsid w:val="008F2A57"/>
    <w:rsid w:val="008F5F32"/>
    <w:rsid w:val="00903987"/>
    <w:rsid w:val="0092217F"/>
    <w:rsid w:val="00944EDC"/>
    <w:rsid w:val="00946DBD"/>
    <w:rsid w:val="00951C46"/>
    <w:rsid w:val="00954A3F"/>
    <w:rsid w:val="00965AF0"/>
    <w:rsid w:val="00974247"/>
    <w:rsid w:val="00982E79"/>
    <w:rsid w:val="00985F39"/>
    <w:rsid w:val="009875EE"/>
    <w:rsid w:val="00997858"/>
    <w:rsid w:val="009A0758"/>
    <w:rsid w:val="009A1BEF"/>
    <w:rsid w:val="009B1A6F"/>
    <w:rsid w:val="009B1DA9"/>
    <w:rsid w:val="009C11F4"/>
    <w:rsid w:val="009E2926"/>
    <w:rsid w:val="009E502F"/>
    <w:rsid w:val="00A02041"/>
    <w:rsid w:val="00A14EDB"/>
    <w:rsid w:val="00A331C8"/>
    <w:rsid w:val="00A34D62"/>
    <w:rsid w:val="00A350F4"/>
    <w:rsid w:val="00A372B3"/>
    <w:rsid w:val="00A42F58"/>
    <w:rsid w:val="00A4432F"/>
    <w:rsid w:val="00A4717E"/>
    <w:rsid w:val="00A508CF"/>
    <w:rsid w:val="00A52508"/>
    <w:rsid w:val="00A526C2"/>
    <w:rsid w:val="00A53B7D"/>
    <w:rsid w:val="00A64C9E"/>
    <w:rsid w:val="00A65264"/>
    <w:rsid w:val="00A7756E"/>
    <w:rsid w:val="00A840A2"/>
    <w:rsid w:val="00A8532A"/>
    <w:rsid w:val="00A8671D"/>
    <w:rsid w:val="00A939C7"/>
    <w:rsid w:val="00A94649"/>
    <w:rsid w:val="00AA6A26"/>
    <w:rsid w:val="00AA70C1"/>
    <w:rsid w:val="00AB7555"/>
    <w:rsid w:val="00AB7EFB"/>
    <w:rsid w:val="00AD16A9"/>
    <w:rsid w:val="00AD178A"/>
    <w:rsid w:val="00AD3956"/>
    <w:rsid w:val="00AD4842"/>
    <w:rsid w:val="00AF4CEA"/>
    <w:rsid w:val="00B13F60"/>
    <w:rsid w:val="00B2281F"/>
    <w:rsid w:val="00B31DAE"/>
    <w:rsid w:val="00B41FCA"/>
    <w:rsid w:val="00B4314C"/>
    <w:rsid w:val="00B44CF2"/>
    <w:rsid w:val="00B53C1D"/>
    <w:rsid w:val="00B57245"/>
    <w:rsid w:val="00B60DA1"/>
    <w:rsid w:val="00B7128F"/>
    <w:rsid w:val="00BA5DE5"/>
    <w:rsid w:val="00BB2D37"/>
    <w:rsid w:val="00BB45B1"/>
    <w:rsid w:val="00BB51B7"/>
    <w:rsid w:val="00BB7F68"/>
    <w:rsid w:val="00BD0A84"/>
    <w:rsid w:val="00BD28C5"/>
    <w:rsid w:val="00BD4FBE"/>
    <w:rsid w:val="00C04DCE"/>
    <w:rsid w:val="00C0585B"/>
    <w:rsid w:val="00C1015E"/>
    <w:rsid w:val="00C14C0E"/>
    <w:rsid w:val="00C231C3"/>
    <w:rsid w:val="00C24FB5"/>
    <w:rsid w:val="00C32F50"/>
    <w:rsid w:val="00C34D49"/>
    <w:rsid w:val="00C435EB"/>
    <w:rsid w:val="00C437F1"/>
    <w:rsid w:val="00C4631C"/>
    <w:rsid w:val="00C57AB7"/>
    <w:rsid w:val="00C761A5"/>
    <w:rsid w:val="00C91C5C"/>
    <w:rsid w:val="00C937F6"/>
    <w:rsid w:val="00C96BFE"/>
    <w:rsid w:val="00CA17A7"/>
    <w:rsid w:val="00CC09E1"/>
    <w:rsid w:val="00CC3690"/>
    <w:rsid w:val="00CC3EF7"/>
    <w:rsid w:val="00CC734C"/>
    <w:rsid w:val="00CD233F"/>
    <w:rsid w:val="00CD2699"/>
    <w:rsid w:val="00CD6C1D"/>
    <w:rsid w:val="00CE466A"/>
    <w:rsid w:val="00CE66F6"/>
    <w:rsid w:val="00D077B0"/>
    <w:rsid w:val="00D137C5"/>
    <w:rsid w:val="00D32567"/>
    <w:rsid w:val="00D41C07"/>
    <w:rsid w:val="00D452C8"/>
    <w:rsid w:val="00D45C95"/>
    <w:rsid w:val="00D56016"/>
    <w:rsid w:val="00D80267"/>
    <w:rsid w:val="00DA0A94"/>
    <w:rsid w:val="00DA7B6C"/>
    <w:rsid w:val="00DB107E"/>
    <w:rsid w:val="00DC22CB"/>
    <w:rsid w:val="00DC7499"/>
    <w:rsid w:val="00DD7264"/>
    <w:rsid w:val="00DE3941"/>
    <w:rsid w:val="00DF1464"/>
    <w:rsid w:val="00DF2604"/>
    <w:rsid w:val="00E01691"/>
    <w:rsid w:val="00E104A3"/>
    <w:rsid w:val="00E168A6"/>
    <w:rsid w:val="00E24534"/>
    <w:rsid w:val="00E44C5E"/>
    <w:rsid w:val="00E46D0D"/>
    <w:rsid w:val="00E54E68"/>
    <w:rsid w:val="00E63646"/>
    <w:rsid w:val="00E743A2"/>
    <w:rsid w:val="00E775DC"/>
    <w:rsid w:val="00E91084"/>
    <w:rsid w:val="00E9773A"/>
    <w:rsid w:val="00EA28FE"/>
    <w:rsid w:val="00EB5474"/>
    <w:rsid w:val="00EB5617"/>
    <w:rsid w:val="00EB7308"/>
    <w:rsid w:val="00EB7DB0"/>
    <w:rsid w:val="00ED6BF8"/>
    <w:rsid w:val="00ED7ADA"/>
    <w:rsid w:val="00EE50A7"/>
    <w:rsid w:val="00EE7BB0"/>
    <w:rsid w:val="00EE7CC1"/>
    <w:rsid w:val="00EF60FA"/>
    <w:rsid w:val="00F0252D"/>
    <w:rsid w:val="00F0337F"/>
    <w:rsid w:val="00F03C8A"/>
    <w:rsid w:val="00F05709"/>
    <w:rsid w:val="00F12C4D"/>
    <w:rsid w:val="00F13C4E"/>
    <w:rsid w:val="00F22A48"/>
    <w:rsid w:val="00F33341"/>
    <w:rsid w:val="00F3648D"/>
    <w:rsid w:val="00F60DBD"/>
    <w:rsid w:val="00F620FC"/>
    <w:rsid w:val="00F7195F"/>
    <w:rsid w:val="00F81BA2"/>
    <w:rsid w:val="00F872F8"/>
    <w:rsid w:val="00FA0700"/>
    <w:rsid w:val="00FA134B"/>
    <w:rsid w:val="00FC2025"/>
    <w:rsid w:val="00FD12D6"/>
    <w:rsid w:val="00FD3FC4"/>
    <w:rsid w:val="00FE7570"/>
    <w:rsid w:val="00FF604F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B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4FB5"/>
    <w:pPr>
      <w:keepNext/>
      <w:keepLines/>
      <w:spacing w:after="960" w:line="480" w:lineRule="auto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FB5"/>
    <w:rPr>
      <w:rFonts w:asciiTheme="majorBidi" w:eastAsiaTheme="majorEastAsia" w:hAnsiTheme="majorBidi" w:cstheme="majorBidi"/>
      <w:b/>
      <w:bCs/>
      <w:sz w:val="24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B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4FB5"/>
    <w:pPr>
      <w:keepNext/>
      <w:keepLines/>
      <w:spacing w:after="960" w:line="480" w:lineRule="auto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FB5"/>
    <w:rPr>
      <w:rFonts w:asciiTheme="majorBidi" w:eastAsiaTheme="majorEastAsia" w:hAnsiTheme="majorBidi" w:cstheme="majorBidi"/>
      <w:b/>
      <w:bCs/>
      <w:sz w:val="24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2020-07-08T04:40:00Z</dcterms:created>
  <dcterms:modified xsi:type="dcterms:W3CDTF">2020-07-08T04:41:00Z</dcterms:modified>
</cp:coreProperties>
</file>